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E3B" w:rsidRDefault="00960E3B" w:rsidP="00263309">
      <w:pPr>
        <w:pStyle w:val="Header"/>
        <w:pBdr>
          <w:bottom w:val="double" w:sz="4" w:space="1" w:color="auto"/>
        </w:pBdr>
        <w:jc w:val="center"/>
        <w:rPr>
          <w:b/>
          <w:i/>
          <w:sz w:val="40"/>
          <w:szCs w:val="52"/>
        </w:rPr>
      </w:pPr>
      <w:r w:rsidRPr="009233DA">
        <w:rPr>
          <w:b/>
          <w:i/>
          <w:sz w:val="40"/>
          <w:szCs w:val="52"/>
        </w:rPr>
        <w:t>Greenwich Association, Inc.</w:t>
      </w:r>
    </w:p>
    <w:p w:rsidR="00960E3B" w:rsidRPr="00A21C09" w:rsidRDefault="00960E3B" w:rsidP="00263309">
      <w:pPr>
        <w:pStyle w:val="Header"/>
        <w:pBdr>
          <w:bottom w:val="double" w:sz="4" w:space="1" w:color="auto"/>
        </w:pBdr>
        <w:jc w:val="center"/>
        <w:rPr>
          <w:bCs/>
          <w:i/>
          <w:sz w:val="24"/>
          <w:szCs w:val="24"/>
        </w:rPr>
      </w:pPr>
      <w:r w:rsidRPr="00A21C09">
        <w:rPr>
          <w:bCs/>
          <w:i/>
          <w:sz w:val="24"/>
          <w:szCs w:val="24"/>
        </w:rPr>
        <w:t>1470 NE 123rd Street, Office</w:t>
      </w:r>
      <w:r w:rsidR="00A110A8">
        <w:rPr>
          <w:bCs/>
          <w:i/>
          <w:sz w:val="24"/>
          <w:szCs w:val="24"/>
        </w:rPr>
        <w:t xml:space="preserve"> #110</w:t>
      </w:r>
      <w:r w:rsidRPr="00A21C09">
        <w:rPr>
          <w:bCs/>
          <w:i/>
          <w:sz w:val="24"/>
          <w:szCs w:val="24"/>
        </w:rPr>
        <w:t xml:space="preserve"> • North Miami, FL 33161</w:t>
      </w:r>
    </w:p>
    <w:p w:rsidR="00960E3B" w:rsidRPr="00030206" w:rsidRDefault="00960E3B" w:rsidP="00263309">
      <w:pPr>
        <w:pStyle w:val="Header"/>
        <w:pBdr>
          <w:bottom w:val="double" w:sz="4" w:space="1" w:color="auto"/>
        </w:pBdr>
        <w:jc w:val="center"/>
        <w:rPr>
          <w:bCs/>
          <w:i/>
          <w:sz w:val="24"/>
          <w:szCs w:val="24"/>
        </w:rPr>
      </w:pPr>
      <w:r w:rsidRPr="00030206">
        <w:rPr>
          <w:bCs/>
          <w:i/>
          <w:sz w:val="24"/>
          <w:szCs w:val="24"/>
        </w:rPr>
        <w:t>GreenwichManager@outlook.com • Tel. 1 (305) 895-0191</w:t>
      </w:r>
    </w:p>
    <w:p w:rsidR="00960E3B" w:rsidRPr="00030206" w:rsidRDefault="00960E3B" w:rsidP="00D206B4">
      <w:pPr>
        <w:pStyle w:val="Header"/>
        <w:pBdr>
          <w:bottom w:val="double" w:sz="4" w:space="1" w:color="auto"/>
        </w:pBdr>
        <w:jc w:val="both"/>
        <w:rPr>
          <w:bCs/>
          <w:i/>
          <w:sz w:val="24"/>
          <w:szCs w:val="24"/>
        </w:rPr>
      </w:pPr>
    </w:p>
    <w:p w:rsidR="00960E3B" w:rsidRDefault="00960E3B" w:rsidP="00263309">
      <w:pPr>
        <w:autoSpaceDE w:val="0"/>
        <w:autoSpaceDN w:val="0"/>
        <w:adjustRightInd w:val="0"/>
        <w:rPr>
          <w:rFonts w:cstheme="minorHAnsi"/>
          <w:b/>
          <w:bCs/>
          <w:kern w:val="0"/>
          <w:u w:val="single"/>
        </w:rPr>
      </w:pPr>
    </w:p>
    <w:p w:rsidR="002F1B9D" w:rsidRPr="00443963" w:rsidRDefault="00A9583E" w:rsidP="00443963">
      <w:pPr>
        <w:autoSpaceDE w:val="0"/>
        <w:autoSpaceDN w:val="0"/>
        <w:adjustRightInd w:val="0"/>
        <w:jc w:val="center"/>
        <w:rPr>
          <w:rFonts w:cstheme="minorHAnsi"/>
          <w:b/>
          <w:bCs/>
          <w:kern w:val="0"/>
        </w:rPr>
      </w:pPr>
      <w:r w:rsidRPr="00443963">
        <w:rPr>
          <w:rFonts w:cstheme="minorHAnsi"/>
          <w:b/>
          <w:bCs/>
          <w:kern w:val="0"/>
        </w:rPr>
        <w:t xml:space="preserve">Expected </w:t>
      </w:r>
      <w:r w:rsidR="00960E3B" w:rsidRPr="00443963">
        <w:rPr>
          <w:rFonts w:cstheme="minorHAnsi"/>
          <w:b/>
          <w:bCs/>
          <w:kern w:val="0"/>
        </w:rPr>
        <w:t>Special Assessment for the</w:t>
      </w:r>
      <w:r w:rsidR="00C167AE" w:rsidRPr="00443963">
        <w:rPr>
          <w:rFonts w:cstheme="minorHAnsi"/>
          <w:b/>
          <w:bCs/>
          <w:kern w:val="0"/>
        </w:rPr>
        <w:t xml:space="preserve"> 40-year structural integrity recertification</w:t>
      </w:r>
    </w:p>
    <w:p w:rsidR="00A9583E" w:rsidRPr="00443963" w:rsidRDefault="00A9583E" w:rsidP="00D206B4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iCs/>
          <w:kern w:val="0"/>
        </w:rPr>
      </w:pPr>
      <w:r w:rsidRPr="00443963">
        <w:rPr>
          <w:rFonts w:cstheme="minorHAnsi"/>
          <w:b/>
          <w:bCs/>
          <w:kern w:val="0"/>
        </w:rPr>
        <w:t>Update of November 1, 2024</w:t>
      </w:r>
    </w:p>
    <w:p w:rsidR="00EB5608" w:rsidRDefault="00EB5608" w:rsidP="00D206B4">
      <w:pPr>
        <w:autoSpaceDE w:val="0"/>
        <w:autoSpaceDN w:val="0"/>
        <w:adjustRightInd w:val="0"/>
        <w:jc w:val="both"/>
        <w:rPr>
          <w:rFonts w:cstheme="minorHAnsi"/>
          <w:i/>
          <w:iCs/>
          <w:kern w:val="0"/>
        </w:rPr>
      </w:pPr>
    </w:p>
    <w:p w:rsidR="00A110A8" w:rsidRPr="00443963" w:rsidRDefault="00CF6718" w:rsidP="00A110A8">
      <w:pPr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443963">
        <w:rPr>
          <w:rFonts w:cstheme="minorHAnsi"/>
          <w:kern w:val="0"/>
          <w:sz w:val="22"/>
          <w:szCs w:val="22"/>
        </w:rPr>
        <w:t>T</w:t>
      </w:r>
      <w:r w:rsidR="00A9583E" w:rsidRPr="00443963">
        <w:rPr>
          <w:rFonts w:cstheme="minorHAnsi"/>
          <w:kern w:val="0"/>
          <w:sz w:val="22"/>
          <w:szCs w:val="22"/>
        </w:rPr>
        <w:t xml:space="preserve">he </w:t>
      </w:r>
      <w:r w:rsidRPr="00443963">
        <w:rPr>
          <w:rFonts w:cstheme="minorHAnsi"/>
          <w:kern w:val="0"/>
          <w:sz w:val="22"/>
          <w:szCs w:val="22"/>
        </w:rPr>
        <w:t xml:space="preserve">Greenwich </w:t>
      </w:r>
      <w:r w:rsidR="005711C5" w:rsidRPr="00443963">
        <w:rPr>
          <w:rFonts w:cstheme="minorHAnsi"/>
          <w:kern w:val="0"/>
          <w:sz w:val="22"/>
          <w:szCs w:val="22"/>
        </w:rPr>
        <w:t xml:space="preserve">condominium </w:t>
      </w:r>
      <w:r w:rsidR="00960E3B" w:rsidRPr="00443963">
        <w:rPr>
          <w:rFonts w:cstheme="minorHAnsi"/>
          <w:kern w:val="0"/>
          <w:sz w:val="22"/>
          <w:szCs w:val="22"/>
        </w:rPr>
        <w:t xml:space="preserve">is undergoing extensive </w:t>
      </w:r>
      <w:r w:rsidR="00C167AE" w:rsidRPr="00443963">
        <w:rPr>
          <w:rFonts w:cstheme="minorHAnsi"/>
          <w:kern w:val="0"/>
          <w:sz w:val="22"/>
          <w:szCs w:val="22"/>
        </w:rPr>
        <w:t>concrete restoration</w:t>
      </w:r>
      <w:r w:rsidR="000E6E0C" w:rsidRPr="00443963">
        <w:rPr>
          <w:rFonts w:cstheme="minorHAnsi"/>
          <w:kern w:val="0"/>
          <w:sz w:val="22"/>
          <w:szCs w:val="22"/>
        </w:rPr>
        <w:t xml:space="preserve"> work </w:t>
      </w:r>
      <w:r w:rsidR="00E12D4A" w:rsidRPr="00443963">
        <w:rPr>
          <w:rFonts w:cstheme="minorHAnsi"/>
          <w:kern w:val="0"/>
          <w:sz w:val="22"/>
          <w:szCs w:val="22"/>
        </w:rPr>
        <w:t xml:space="preserve">to obtain a </w:t>
      </w:r>
      <w:r w:rsidR="000E6E0C" w:rsidRPr="00443963">
        <w:rPr>
          <w:rFonts w:cstheme="minorHAnsi"/>
          <w:kern w:val="0"/>
          <w:sz w:val="22"/>
          <w:szCs w:val="22"/>
        </w:rPr>
        <w:t xml:space="preserve">required </w:t>
      </w:r>
      <w:r w:rsidR="00A9583E" w:rsidRPr="00443963">
        <w:rPr>
          <w:rFonts w:cstheme="minorHAnsi"/>
          <w:kern w:val="0"/>
          <w:sz w:val="22"/>
          <w:szCs w:val="22"/>
        </w:rPr>
        <w:t>a</w:t>
      </w:r>
      <w:r w:rsidR="005711C5" w:rsidRPr="00443963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="005711C5" w:rsidRPr="00443963">
        <w:rPr>
          <w:rFonts w:cstheme="minorHAnsi"/>
          <w:kern w:val="0"/>
          <w:sz w:val="22"/>
          <w:szCs w:val="22"/>
        </w:rPr>
        <w:t>40-year structural integrity recertification</w:t>
      </w:r>
      <w:r w:rsidR="00D206B4" w:rsidRPr="00443963">
        <w:rPr>
          <w:rFonts w:cstheme="minorHAnsi"/>
          <w:kern w:val="0"/>
          <w:sz w:val="22"/>
          <w:szCs w:val="22"/>
        </w:rPr>
        <w:t xml:space="preserve"> </w:t>
      </w:r>
      <w:r w:rsidR="00A0186A" w:rsidRPr="00443963">
        <w:rPr>
          <w:rFonts w:cstheme="minorHAnsi"/>
          <w:kern w:val="0"/>
          <w:sz w:val="22"/>
          <w:szCs w:val="22"/>
        </w:rPr>
        <w:t xml:space="preserve">for the building </w:t>
      </w:r>
      <w:r w:rsidR="00D206B4" w:rsidRPr="00443963">
        <w:rPr>
          <w:rFonts w:cstheme="minorHAnsi"/>
          <w:kern w:val="0"/>
          <w:sz w:val="22"/>
          <w:szCs w:val="22"/>
        </w:rPr>
        <w:t>from</w:t>
      </w:r>
      <w:r w:rsidR="00E12D4A" w:rsidRPr="00443963">
        <w:rPr>
          <w:rFonts w:cstheme="minorHAnsi"/>
          <w:kern w:val="0"/>
          <w:sz w:val="22"/>
          <w:szCs w:val="22"/>
        </w:rPr>
        <w:t xml:space="preserve"> Miami Dade County.</w:t>
      </w:r>
      <w:r w:rsidR="00D206B4" w:rsidRPr="00443963">
        <w:rPr>
          <w:rFonts w:cstheme="minorHAnsi"/>
          <w:kern w:val="0"/>
          <w:sz w:val="22"/>
          <w:szCs w:val="22"/>
        </w:rPr>
        <w:t xml:space="preserve"> </w:t>
      </w:r>
      <w:r w:rsidR="00A110A8" w:rsidRPr="00443963">
        <w:rPr>
          <w:rFonts w:cstheme="minorHAnsi"/>
          <w:kern w:val="0"/>
          <w:sz w:val="22"/>
          <w:szCs w:val="22"/>
        </w:rPr>
        <w:t xml:space="preserve">In 2023 Restore Construction Company started repairs on the façade and balconies in a project in which </w:t>
      </w:r>
      <w:r w:rsidR="00960E3B" w:rsidRPr="00443963">
        <w:rPr>
          <w:rFonts w:cstheme="minorHAnsi"/>
          <w:kern w:val="0"/>
          <w:sz w:val="22"/>
          <w:szCs w:val="22"/>
        </w:rPr>
        <w:t xml:space="preserve">Greenwich </w:t>
      </w:r>
      <w:r w:rsidR="000E6E0C" w:rsidRPr="00443963">
        <w:rPr>
          <w:rFonts w:cstheme="minorHAnsi"/>
          <w:kern w:val="0"/>
          <w:sz w:val="22"/>
          <w:szCs w:val="22"/>
        </w:rPr>
        <w:t>Association</w:t>
      </w:r>
      <w:r w:rsidR="00960E3B" w:rsidRPr="00443963">
        <w:rPr>
          <w:rFonts w:cstheme="minorHAnsi"/>
          <w:kern w:val="0"/>
          <w:sz w:val="22"/>
          <w:szCs w:val="22"/>
        </w:rPr>
        <w:t xml:space="preserve"> </w:t>
      </w:r>
      <w:r w:rsidR="00801625" w:rsidRPr="00443963">
        <w:rPr>
          <w:rFonts w:cstheme="minorHAnsi"/>
          <w:kern w:val="0"/>
          <w:sz w:val="22"/>
          <w:szCs w:val="22"/>
        </w:rPr>
        <w:t>is represented by O&amp;S Engineering</w:t>
      </w:r>
      <w:r w:rsidR="00A110A8" w:rsidRPr="00443963">
        <w:rPr>
          <w:rFonts w:cstheme="minorHAnsi"/>
          <w:kern w:val="0"/>
          <w:sz w:val="22"/>
          <w:szCs w:val="22"/>
        </w:rPr>
        <w:t xml:space="preserve">. The </w:t>
      </w:r>
      <w:r w:rsidR="00C167AE" w:rsidRPr="00443963">
        <w:rPr>
          <w:rFonts w:cstheme="minorHAnsi"/>
          <w:kern w:val="0"/>
          <w:sz w:val="22"/>
          <w:szCs w:val="22"/>
        </w:rPr>
        <w:t>cost</w:t>
      </w:r>
      <w:r w:rsidR="000E6E0C" w:rsidRPr="00443963">
        <w:rPr>
          <w:rFonts w:cstheme="minorHAnsi"/>
          <w:kern w:val="0"/>
          <w:sz w:val="22"/>
          <w:szCs w:val="22"/>
        </w:rPr>
        <w:t>s</w:t>
      </w:r>
      <w:r w:rsidR="00C167AE" w:rsidRPr="00443963">
        <w:rPr>
          <w:rFonts w:cstheme="minorHAnsi"/>
          <w:kern w:val="0"/>
          <w:sz w:val="22"/>
          <w:szCs w:val="22"/>
        </w:rPr>
        <w:t xml:space="preserve"> </w:t>
      </w:r>
      <w:r w:rsidR="00A110A8" w:rsidRPr="00443963">
        <w:rPr>
          <w:rFonts w:cstheme="minorHAnsi"/>
          <w:kern w:val="0"/>
          <w:sz w:val="22"/>
          <w:szCs w:val="22"/>
        </w:rPr>
        <w:t xml:space="preserve">have been successively </w:t>
      </w:r>
      <w:r w:rsidR="000E6E0C" w:rsidRPr="00443963">
        <w:rPr>
          <w:rFonts w:cstheme="minorHAnsi"/>
          <w:kern w:val="0"/>
          <w:sz w:val="22"/>
          <w:szCs w:val="22"/>
        </w:rPr>
        <w:t>adjusted</w:t>
      </w:r>
      <w:r w:rsidR="00030206" w:rsidRPr="00443963">
        <w:rPr>
          <w:rFonts w:cstheme="minorHAnsi"/>
          <w:kern w:val="0"/>
          <w:sz w:val="22"/>
          <w:szCs w:val="22"/>
        </w:rPr>
        <w:t xml:space="preserve"> as </w:t>
      </w:r>
      <w:r w:rsidR="00A110A8" w:rsidRPr="00443963">
        <w:rPr>
          <w:rFonts w:cstheme="minorHAnsi"/>
          <w:kern w:val="0"/>
          <w:sz w:val="22"/>
          <w:szCs w:val="22"/>
        </w:rPr>
        <w:t xml:space="preserve">the </w:t>
      </w:r>
      <w:r w:rsidR="00030206" w:rsidRPr="00443963">
        <w:rPr>
          <w:rFonts w:cstheme="minorHAnsi"/>
          <w:kern w:val="0"/>
          <w:sz w:val="22"/>
          <w:szCs w:val="22"/>
        </w:rPr>
        <w:t>surface work progresses</w:t>
      </w:r>
      <w:r w:rsidR="00A0186A" w:rsidRPr="00443963">
        <w:rPr>
          <w:rFonts w:cstheme="minorHAnsi"/>
          <w:kern w:val="0"/>
          <w:sz w:val="22"/>
          <w:szCs w:val="22"/>
        </w:rPr>
        <w:t xml:space="preserve">, uncovering </w:t>
      </w:r>
      <w:r w:rsidR="00D206B4" w:rsidRPr="00443963">
        <w:rPr>
          <w:rFonts w:cstheme="minorHAnsi"/>
          <w:kern w:val="0"/>
          <w:sz w:val="22"/>
          <w:szCs w:val="22"/>
        </w:rPr>
        <w:t>s</w:t>
      </w:r>
      <w:r w:rsidR="00C167AE" w:rsidRPr="00443963">
        <w:rPr>
          <w:rFonts w:cstheme="minorHAnsi"/>
          <w:kern w:val="0"/>
          <w:sz w:val="22"/>
          <w:szCs w:val="22"/>
        </w:rPr>
        <w:t xml:space="preserve">tructural </w:t>
      </w:r>
      <w:r w:rsidR="00801625" w:rsidRPr="00443963">
        <w:rPr>
          <w:rFonts w:cstheme="minorHAnsi"/>
          <w:kern w:val="0"/>
          <w:sz w:val="22"/>
          <w:szCs w:val="22"/>
        </w:rPr>
        <w:t>deficiencies</w:t>
      </w:r>
      <w:r w:rsidR="00A110A8" w:rsidRPr="00443963">
        <w:rPr>
          <w:rFonts w:cstheme="minorHAnsi"/>
          <w:kern w:val="0"/>
          <w:sz w:val="22"/>
          <w:szCs w:val="22"/>
        </w:rPr>
        <w:t>; it</w:t>
      </w:r>
      <w:r w:rsidR="00D206B4" w:rsidRPr="00443963">
        <w:rPr>
          <w:rFonts w:cstheme="minorHAnsi"/>
          <w:kern w:val="0"/>
          <w:sz w:val="22"/>
          <w:szCs w:val="22"/>
        </w:rPr>
        <w:t xml:space="preserve"> </w:t>
      </w:r>
      <w:r w:rsidR="00A110A8" w:rsidRPr="00443963">
        <w:rPr>
          <w:rFonts w:cstheme="minorHAnsi"/>
          <w:kern w:val="0"/>
          <w:sz w:val="22"/>
          <w:szCs w:val="22"/>
        </w:rPr>
        <w:t xml:space="preserve">is </w:t>
      </w:r>
      <w:r w:rsidR="00D206B4" w:rsidRPr="00443963">
        <w:rPr>
          <w:rFonts w:cstheme="minorHAnsi"/>
          <w:kern w:val="0"/>
          <w:sz w:val="22"/>
          <w:szCs w:val="22"/>
        </w:rPr>
        <w:t xml:space="preserve">currently </w:t>
      </w:r>
      <w:r w:rsidR="00A110A8" w:rsidRPr="00443963">
        <w:rPr>
          <w:rFonts w:cstheme="minorHAnsi"/>
          <w:kern w:val="0"/>
          <w:sz w:val="22"/>
          <w:szCs w:val="22"/>
        </w:rPr>
        <w:t>projected</w:t>
      </w:r>
      <w:r w:rsidR="00D206B4" w:rsidRPr="00443963">
        <w:rPr>
          <w:rFonts w:cstheme="minorHAnsi"/>
          <w:kern w:val="0"/>
          <w:sz w:val="22"/>
          <w:szCs w:val="22"/>
        </w:rPr>
        <w:t xml:space="preserve"> </w:t>
      </w:r>
      <w:r w:rsidR="00A110A8" w:rsidRPr="00443963">
        <w:rPr>
          <w:rFonts w:cstheme="minorHAnsi"/>
          <w:kern w:val="0"/>
          <w:sz w:val="22"/>
          <w:szCs w:val="22"/>
        </w:rPr>
        <w:t xml:space="preserve">to be completed in April 2025 at a total </w:t>
      </w:r>
      <w:r w:rsidR="00443963" w:rsidRPr="00443963">
        <w:rPr>
          <w:rFonts w:cstheme="minorHAnsi"/>
          <w:kern w:val="0"/>
          <w:sz w:val="22"/>
          <w:szCs w:val="22"/>
        </w:rPr>
        <w:t xml:space="preserve">estimated </w:t>
      </w:r>
      <w:r w:rsidR="00A110A8" w:rsidRPr="00443963">
        <w:rPr>
          <w:rFonts w:cstheme="minorHAnsi"/>
          <w:kern w:val="0"/>
          <w:sz w:val="22"/>
          <w:szCs w:val="22"/>
        </w:rPr>
        <w:t>cost of $2,629,321.</w:t>
      </w:r>
    </w:p>
    <w:p w:rsidR="00A110A8" w:rsidRPr="00443963" w:rsidRDefault="00A110A8" w:rsidP="00A110A8">
      <w:pPr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</w:p>
    <w:p w:rsidR="00D206B4" w:rsidRPr="00443963" w:rsidRDefault="002F1B9D" w:rsidP="00D206B4">
      <w:pPr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443963">
        <w:rPr>
          <w:rFonts w:cstheme="minorHAnsi"/>
          <w:kern w:val="0"/>
          <w:sz w:val="22"/>
          <w:szCs w:val="22"/>
        </w:rPr>
        <w:t>Over</w:t>
      </w:r>
      <w:r w:rsidR="00801625" w:rsidRPr="00443963">
        <w:rPr>
          <w:rFonts w:cstheme="minorHAnsi"/>
          <w:kern w:val="0"/>
          <w:sz w:val="22"/>
          <w:szCs w:val="22"/>
        </w:rPr>
        <w:t xml:space="preserve"> </w:t>
      </w:r>
      <w:r w:rsidR="00C86212" w:rsidRPr="00443963">
        <w:rPr>
          <w:rFonts w:cstheme="minorHAnsi"/>
          <w:kern w:val="0"/>
          <w:sz w:val="22"/>
          <w:szCs w:val="22"/>
        </w:rPr>
        <w:t xml:space="preserve">50% of the </w:t>
      </w:r>
      <w:r w:rsidR="00A110A8" w:rsidRPr="00443963">
        <w:rPr>
          <w:rFonts w:cstheme="minorHAnsi"/>
          <w:kern w:val="0"/>
          <w:sz w:val="22"/>
          <w:szCs w:val="22"/>
        </w:rPr>
        <w:t>expected</w:t>
      </w:r>
      <w:r w:rsidR="00801625" w:rsidRPr="00443963">
        <w:rPr>
          <w:rFonts w:cstheme="minorHAnsi"/>
          <w:kern w:val="0"/>
          <w:sz w:val="22"/>
          <w:szCs w:val="22"/>
        </w:rPr>
        <w:t xml:space="preserve"> work </w:t>
      </w:r>
      <w:r w:rsidR="00E12D4A" w:rsidRPr="00443963">
        <w:rPr>
          <w:rFonts w:cstheme="minorHAnsi"/>
          <w:kern w:val="0"/>
          <w:sz w:val="22"/>
          <w:szCs w:val="22"/>
        </w:rPr>
        <w:t>had been completed at a cost of</w:t>
      </w:r>
      <w:r w:rsidR="00801625" w:rsidRPr="00443963">
        <w:rPr>
          <w:rFonts w:cstheme="minorHAnsi"/>
          <w:kern w:val="0"/>
          <w:sz w:val="22"/>
          <w:szCs w:val="22"/>
        </w:rPr>
        <w:t xml:space="preserve"> </w:t>
      </w:r>
      <w:r w:rsidRPr="00443963">
        <w:rPr>
          <w:rFonts w:cstheme="minorHAnsi"/>
          <w:kern w:val="0"/>
          <w:sz w:val="22"/>
          <w:szCs w:val="22"/>
        </w:rPr>
        <w:t>$</w:t>
      </w:r>
      <w:r w:rsidR="00A110A8" w:rsidRPr="00443963">
        <w:rPr>
          <w:rFonts w:cstheme="minorHAnsi"/>
          <w:kern w:val="0"/>
          <w:sz w:val="22"/>
          <w:szCs w:val="22"/>
        </w:rPr>
        <w:t>1,865,165.80</w:t>
      </w:r>
      <w:r w:rsidR="00C86212" w:rsidRPr="00443963">
        <w:rPr>
          <w:rFonts w:cstheme="minorHAnsi"/>
          <w:kern w:val="0"/>
          <w:sz w:val="22"/>
          <w:szCs w:val="22"/>
        </w:rPr>
        <w:t>. The remaining work</w:t>
      </w:r>
      <w:r w:rsidR="00A110A8" w:rsidRPr="00443963">
        <w:rPr>
          <w:rFonts w:cstheme="minorHAnsi"/>
          <w:kern w:val="0"/>
          <w:sz w:val="22"/>
          <w:szCs w:val="22"/>
        </w:rPr>
        <w:t xml:space="preserve"> </w:t>
      </w:r>
      <w:r w:rsidR="00C86212" w:rsidRPr="00443963">
        <w:rPr>
          <w:rFonts w:cstheme="minorHAnsi"/>
          <w:kern w:val="0"/>
          <w:sz w:val="22"/>
          <w:szCs w:val="22"/>
        </w:rPr>
        <w:t xml:space="preserve">is </w:t>
      </w:r>
      <w:r w:rsidR="00E72E19" w:rsidRPr="00443963">
        <w:rPr>
          <w:rFonts w:cstheme="minorHAnsi"/>
          <w:kern w:val="0"/>
          <w:sz w:val="22"/>
          <w:szCs w:val="22"/>
        </w:rPr>
        <w:t xml:space="preserve">underway </w:t>
      </w:r>
      <w:r w:rsidR="00D206B4" w:rsidRPr="00443963">
        <w:rPr>
          <w:rFonts w:cstheme="minorHAnsi"/>
          <w:kern w:val="0"/>
          <w:sz w:val="22"/>
          <w:szCs w:val="22"/>
        </w:rPr>
        <w:t xml:space="preserve">mostly </w:t>
      </w:r>
      <w:r w:rsidR="00C86212" w:rsidRPr="00443963">
        <w:rPr>
          <w:rFonts w:cstheme="minorHAnsi"/>
          <w:kern w:val="0"/>
          <w:sz w:val="22"/>
          <w:szCs w:val="22"/>
        </w:rPr>
        <w:t>on the western façade</w:t>
      </w:r>
      <w:r w:rsidR="00801625" w:rsidRPr="00443963">
        <w:rPr>
          <w:rFonts w:cstheme="minorHAnsi"/>
          <w:kern w:val="0"/>
          <w:sz w:val="22"/>
          <w:szCs w:val="22"/>
        </w:rPr>
        <w:t xml:space="preserve"> of the building</w:t>
      </w:r>
      <w:r w:rsidR="00C86212" w:rsidRPr="00443963">
        <w:rPr>
          <w:rFonts w:cstheme="minorHAnsi"/>
          <w:kern w:val="0"/>
          <w:sz w:val="22"/>
          <w:szCs w:val="22"/>
        </w:rPr>
        <w:t>, wh</w:t>
      </w:r>
      <w:r w:rsidR="00801625" w:rsidRPr="00443963">
        <w:rPr>
          <w:rFonts w:cstheme="minorHAnsi"/>
          <w:kern w:val="0"/>
          <w:sz w:val="22"/>
          <w:szCs w:val="22"/>
        </w:rPr>
        <w:t xml:space="preserve">ere </w:t>
      </w:r>
      <w:r w:rsidR="00C86212" w:rsidRPr="00443963">
        <w:rPr>
          <w:rFonts w:cstheme="minorHAnsi"/>
          <w:kern w:val="0"/>
          <w:sz w:val="22"/>
          <w:szCs w:val="22"/>
        </w:rPr>
        <w:t>less structural affection</w:t>
      </w:r>
      <w:r w:rsidR="00801625" w:rsidRPr="00443963">
        <w:rPr>
          <w:rFonts w:cstheme="minorHAnsi"/>
          <w:kern w:val="0"/>
          <w:sz w:val="22"/>
          <w:szCs w:val="22"/>
        </w:rPr>
        <w:t xml:space="preserve"> is expected</w:t>
      </w:r>
      <w:r w:rsidR="00E12D4A" w:rsidRPr="00443963">
        <w:rPr>
          <w:rFonts w:cstheme="minorHAnsi"/>
          <w:kern w:val="0"/>
          <w:sz w:val="22"/>
          <w:szCs w:val="22"/>
        </w:rPr>
        <w:t xml:space="preserve">. </w:t>
      </w:r>
      <w:r w:rsidRPr="00443963">
        <w:rPr>
          <w:rFonts w:cstheme="minorHAnsi"/>
          <w:kern w:val="0"/>
          <w:sz w:val="22"/>
          <w:szCs w:val="22"/>
        </w:rPr>
        <w:t>Additional payments to the e</w:t>
      </w:r>
      <w:r w:rsidRPr="00443963">
        <w:rPr>
          <w:rFonts w:cstheme="minorHAnsi"/>
          <w:sz w:val="22"/>
          <w:szCs w:val="22"/>
        </w:rPr>
        <w:t xml:space="preserve">ngineering </w:t>
      </w:r>
      <w:r w:rsidRPr="00443963">
        <w:rPr>
          <w:rFonts w:cstheme="minorHAnsi"/>
          <w:sz w:val="22"/>
          <w:szCs w:val="22"/>
        </w:rPr>
        <w:t xml:space="preserve">firm managing </w:t>
      </w:r>
      <w:r w:rsidRPr="00443963">
        <w:rPr>
          <w:rFonts w:cstheme="minorHAnsi"/>
          <w:sz w:val="22"/>
          <w:szCs w:val="22"/>
        </w:rPr>
        <w:t>the project are around $108,000</w:t>
      </w:r>
      <w:r w:rsidRPr="00443963">
        <w:rPr>
          <w:rFonts w:cstheme="minorHAnsi"/>
          <w:sz w:val="22"/>
          <w:szCs w:val="22"/>
        </w:rPr>
        <w:t xml:space="preserve"> to date</w:t>
      </w:r>
      <w:r w:rsidRPr="00443963">
        <w:rPr>
          <w:rFonts w:cstheme="minorHAnsi"/>
          <w:sz w:val="22"/>
          <w:szCs w:val="22"/>
        </w:rPr>
        <w:t>.</w:t>
      </w:r>
    </w:p>
    <w:p w:rsidR="00A110A8" w:rsidRPr="00443963" w:rsidRDefault="00A110A8" w:rsidP="00D206B4">
      <w:pPr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</w:p>
    <w:p w:rsidR="00C167AE" w:rsidRPr="00443963" w:rsidRDefault="00D206B4" w:rsidP="00D206B4">
      <w:pPr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443963">
        <w:rPr>
          <w:rFonts w:cstheme="minorHAnsi"/>
          <w:kern w:val="0"/>
          <w:sz w:val="22"/>
          <w:szCs w:val="22"/>
        </w:rPr>
        <w:t>Required e</w:t>
      </w:r>
      <w:r w:rsidR="00C167AE" w:rsidRPr="00443963">
        <w:rPr>
          <w:rFonts w:cstheme="minorHAnsi"/>
          <w:kern w:val="0"/>
          <w:sz w:val="22"/>
          <w:szCs w:val="22"/>
        </w:rPr>
        <w:t xml:space="preserve">lectrical upgrades </w:t>
      </w:r>
      <w:r w:rsidR="00A110A8" w:rsidRPr="00443963">
        <w:rPr>
          <w:rFonts w:cstheme="minorHAnsi"/>
          <w:kern w:val="0"/>
          <w:sz w:val="22"/>
          <w:szCs w:val="22"/>
        </w:rPr>
        <w:t xml:space="preserve">are </w:t>
      </w:r>
      <w:r w:rsidRPr="00443963">
        <w:rPr>
          <w:rFonts w:cstheme="minorHAnsi"/>
          <w:kern w:val="0"/>
          <w:sz w:val="22"/>
          <w:szCs w:val="22"/>
        </w:rPr>
        <w:t>currently under</w:t>
      </w:r>
      <w:r w:rsidR="00E72E19" w:rsidRPr="00443963">
        <w:rPr>
          <w:rFonts w:cstheme="minorHAnsi"/>
          <w:kern w:val="0"/>
          <w:sz w:val="22"/>
          <w:szCs w:val="22"/>
        </w:rPr>
        <w:t xml:space="preserve"> </w:t>
      </w:r>
      <w:r w:rsidR="00C167AE" w:rsidRPr="00443963">
        <w:rPr>
          <w:rFonts w:cstheme="minorHAnsi"/>
          <w:kern w:val="0"/>
          <w:sz w:val="22"/>
          <w:szCs w:val="22"/>
        </w:rPr>
        <w:t>review</w:t>
      </w:r>
      <w:r w:rsidR="00A110A8" w:rsidRPr="00443963">
        <w:rPr>
          <w:rFonts w:cstheme="minorHAnsi"/>
          <w:kern w:val="0"/>
          <w:sz w:val="22"/>
          <w:szCs w:val="22"/>
        </w:rPr>
        <w:t xml:space="preserve"> and</w:t>
      </w:r>
      <w:r w:rsidRPr="00443963">
        <w:rPr>
          <w:rFonts w:cstheme="minorHAnsi"/>
          <w:kern w:val="0"/>
          <w:sz w:val="22"/>
          <w:szCs w:val="22"/>
        </w:rPr>
        <w:t xml:space="preserve"> </w:t>
      </w:r>
      <w:r w:rsidR="00E12D4A" w:rsidRPr="00443963">
        <w:rPr>
          <w:rFonts w:cstheme="minorHAnsi"/>
          <w:kern w:val="0"/>
          <w:sz w:val="22"/>
          <w:szCs w:val="22"/>
        </w:rPr>
        <w:t>will</w:t>
      </w:r>
      <w:r w:rsidR="00C167AE" w:rsidRPr="00443963">
        <w:rPr>
          <w:rFonts w:cstheme="minorHAnsi"/>
          <w:kern w:val="0"/>
          <w:sz w:val="22"/>
          <w:szCs w:val="22"/>
        </w:rPr>
        <w:t xml:space="preserve"> lead </w:t>
      </w:r>
      <w:r w:rsidR="00030206" w:rsidRPr="00443963">
        <w:rPr>
          <w:rFonts w:cstheme="minorHAnsi"/>
          <w:kern w:val="0"/>
          <w:sz w:val="22"/>
          <w:szCs w:val="22"/>
        </w:rPr>
        <w:t xml:space="preserve">to work </w:t>
      </w:r>
      <w:r w:rsidR="00E72E19" w:rsidRPr="00443963">
        <w:rPr>
          <w:rFonts w:cstheme="minorHAnsi"/>
          <w:kern w:val="0"/>
          <w:sz w:val="22"/>
          <w:szCs w:val="22"/>
        </w:rPr>
        <w:t xml:space="preserve">at </w:t>
      </w:r>
      <w:r w:rsidR="00A9583E" w:rsidRPr="00443963">
        <w:rPr>
          <w:rFonts w:cstheme="minorHAnsi"/>
          <w:kern w:val="0"/>
          <w:sz w:val="22"/>
          <w:szCs w:val="22"/>
        </w:rPr>
        <w:t xml:space="preserve">additional cost </w:t>
      </w:r>
      <w:r w:rsidR="00E72E19" w:rsidRPr="00443963">
        <w:rPr>
          <w:rFonts w:cstheme="minorHAnsi"/>
          <w:kern w:val="0"/>
          <w:sz w:val="22"/>
          <w:szCs w:val="22"/>
        </w:rPr>
        <w:t>to</w:t>
      </w:r>
      <w:r w:rsidR="00A9583E" w:rsidRPr="00443963">
        <w:rPr>
          <w:rFonts w:cstheme="minorHAnsi"/>
          <w:kern w:val="0"/>
          <w:sz w:val="22"/>
          <w:szCs w:val="22"/>
        </w:rPr>
        <w:t xml:space="preserve"> the Association a</w:t>
      </w:r>
      <w:r w:rsidR="00A110A8" w:rsidRPr="00443963">
        <w:rPr>
          <w:rFonts w:cstheme="minorHAnsi"/>
          <w:kern w:val="0"/>
          <w:sz w:val="22"/>
          <w:szCs w:val="22"/>
        </w:rPr>
        <w:t>s well as to</w:t>
      </w:r>
      <w:r w:rsidR="00A9583E" w:rsidRPr="00443963">
        <w:rPr>
          <w:rFonts w:cstheme="minorHAnsi"/>
          <w:kern w:val="0"/>
          <w:sz w:val="22"/>
          <w:szCs w:val="22"/>
        </w:rPr>
        <w:t xml:space="preserve"> individual unit owners</w:t>
      </w:r>
      <w:r w:rsidR="00A110A8" w:rsidRPr="00443963">
        <w:rPr>
          <w:rFonts w:cstheme="minorHAnsi"/>
          <w:kern w:val="0"/>
          <w:sz w:val="22"/>
          <w:szCs w:val="22"/>
        </w:rPr>
        <w:t xml:space="preserve"> for </w:t>
      </w:r>
      <w:r w:rsidR="00A0186A" w:rsidRPr="00443963">
        <w:rPr>
          <w:rFonts w:cstheme="minorHAnsi"/>
          <w:kern w:val="0"/>
          <w:sz w:val="22"/>
          <w:szCs w:val="22"/>
        </w:rPr>
        <w:t>amount</w:t>
      </w:r>
      <w:r w:rsidR="00A110A8" w:rsidRPr="00443963">
        <w:rPr>
          <w:rFonts w:cstheme="minorHAnsi"/>
          <w:kern w:val="0"/>
          <w:sz w:val="22"/>
          <w:szCs w:val="22"/>
        </w:rPr>
        <w:t xml:space="preserve">s that </w:t>
      </w:r>
      <w:r w:rsidR="00030206" w:rsidRPr="00443963">
        <w:rPr>
          <w:rFonts w:cstheme="minorHAnsi"/>
          <w:kern w:val="0"/>
          <w:sz w:val="22"/>
          <w:szCs w:val="22"/>
        </w:rPr>
        <w:t>can</w:t>
      </w:r>
      <w:r w:rsidR="00E72E19" w:rsidRPr="00443963">
        <w:rPr>
          <w:rFonts w:cstheme="minorHAnsi"/>
          <w:kern w:val="0"/>
          <w:sz w:val="22"/>
          <w:szCs w:val="22"/>
        </w:rPr>
        <w:t>not yet</w:t>
      </w:r>
      <w:r w:rsidR="00030206" w:rsidRPr="00443963">
        <w:rPr>
          <w:rFonts w:cstheme="minorHAnsi"/>
          <w:kern w:val="0"/>
          <w:sz w:val="22"/>
          <w:szCs w:val="22"/>
        </w:rPr>
        <w:t xml:space="preserve"> be established</w:t>
      </w:r>
      <w:r w:rsidR="00A110A8" w:rsidRPr="00443963">
        <w:rPr>
          <w:rFonts w:cstheme="minorHAnsi"/>
          <w:kern w:val="0"/>
          <w:sz w:val="22"/>
          <w:szCs w:val="22"/>
        </w:rPr>
        <w:t>. Upgrades required from</w:t>
      </w:r>
      <w:r w:rsidR="009A5A54" w:rsidRPr="00443963">
        <w:rPr>
          <w:rFonts w:cstheme="minorHAnsi"/>
          <w:kern w:val="0"/>
          <w:sz w:val="22"/>
          <w:szCs w:val="22"/>
        </w:rPr>
        <w:t xml:space="preserve"> the </w:t>
      </w:r>
      <w:r w:rsidR="00A110A8" w:rsidRPr="00443963">
        <w:rPr>
          <w:rFonts w:cstheme="minorHAnsi"/>
          <w:kern w:val="0"/>
          <w:sz w:val="22"/>
          <w:szCs w:val="22"/>
        </w:rPr>
        <w:t>owners</w:t>
      </w:r>
      <w:r w:rsidR="009A5A54" w:rsidRPr="00443963">
        <w:rPr>
          <w:rFonts w:cstheme="minorHAnsi"/>
          <w:kern w:val="0"/>
          <w:sz w:val="22"/>
          <w:szCs w:val="22"/>
        </w:rPr>
        <w:t xml:space="preserve"> </w:t>
      </w:r>
      <w:r w:rsidR="00A110A8" w:rsidRPr="00443963">
        <w:rPr>
          <w:rFonts w:cstheme="minorHAnsi"/>
          <w:kern w:val="0"/>
          <w:sz w:val="22"/>
          <w:szCs w:val="22"/>
        </w:rPr>
        <w:t>include installing, where needed, GFI outlets and s</w:t>
      </w:r>
      <w:r w:rsidR="00A0186A" w:rsidRPr="00443963">
        <w:rPr>
          <w:rFonts w:cstheme="minorHAnsi"/>
          <w:kern w:val="0"/>
          <w:sz w:val="22"/>
          <w:szCs w:val="22"/>
        </w:rPr>
        <w:t>moke</w:t>
      </w:r>
      <w:r w:rsidR="00A110A8" w:rsidRPr="00443963">
        <w:rPr>
          <w:rFonts w:cstheme="minorHAnsi"/>
          <w:kern w:val="0"/>
          <w:sz w:val="22"/>
          <w:szCs w:val="22"/>
        </w:rPr>
        <w:t xml:space="preserve"> detectors</w:t>
      </w:r>
      <w:r w:rsidR="009A5A54" w:rsidRPr="00443963">
        <w:rPr>
          <w:rFonts w:cstheme="minorHAnsi"/>
          <w:kern w:val="0"/>
          <w:sz w:val="22"/>
          <w:szCs w:val="22"/>
        </w:rPr>
        <w:t xml:space="preserve">. </w:t>
      </w:r>
      <w:r w:rsidR="00A0186A" w:rsidRPr="00443963">
        <w:rPr>
          <w:rFonts w:cstheme="minorHAnsi"/>
          <w:kern w:val="0"/>
          <w:sz w:val="22"/>
          <w:szCs w:val="22"/>
        </w:rPr>
        <w:t xml:space="preserve">Whether </w:t>
      </w:r>
      <w:r w:rsidR="009A5A54" w:rsidRPr="00443963">
        <w:rPr>
          <w:rFonts w:cstheme="minorHAnsi"/>
          <w:kern w:val="0"/>
          <w:sz w:val="22"/>
          <w:szCs w:val="22"/>
        </w:rPr>
        <w:t>individual units’</w:t>
      </w:r>
      <w:r w:rsidR="00A110A8" w:rsidRPr="00443963">
        <w:rPr>
          <w:rFonts w:cstheme="minorHAnsi"/>
          <w:kern w:val="0"/>
          <w:sz w:val="22"/>
          <w:szCs w:val="22"/>
        </w:rPr>
        <w:t xml:space="preserve"> electrical panels</w:t>
      </w:r>
      <w:r w:rsidR="009A5A54" w:rsidRPr="00443963">
        <w:rPr>
          <w:rFonts w:cstheme="minorHAnsi"/>
          <w:kern w:val="0"/>
          <w:sz w:val="22"/>
          <w:szCs w:val="22"/>
        </w:rPr>
        <w:t xml:space="preserve"> </w:t>
      </w:r>
      <w:r w:rsidR="00A0186A" w:rsidRPr="00443963">
        <w:rPr>
          <w:rFonts w:cstheme="minorHAnsi"/>
          <w:kern w:val="0"/>
          <w:sz w:val="22"/>
          <w:szCs w:val="22"/>
        </w:rPr>
        <w:t xml:space="preserve">must be upgraded </w:t>
      </w:r>
      <w:r w:rsidR="009A5A54" w:rsidRPr="00443963">
        <w:rPr>
          <w:rFonts w:cstheme="minorHAnsi"/>
          <w:kern w:val="0"/>
          <w:sz w:val="22"/>
          <w:szCs w:val="22"/>
        </w:rPr>
        <w:t>is to be determined</w:t>
      </w:r>
      <w:r w:rsidR="00A110A8" w:rsidRPr="00443963">
        <w:rPr>
          <w:rFonts w:cstheme="minorHAnsi"/>
          <w:kern w:val="0"/>
          <w:sz w:val="22"/>
          <w:szCs w:val="22"/>
        </w:rPr>
        <w:t>.</w:t>
      </w:r>
    </w:p>
    <w:p w:rsidR="00A9583E" w:rsidRPr="00443963" w:rsidRDefault="00A9583E" w:rsidP="00D206B4">
      <w:pPr>
        <w:autoSpaceDE w:val="0"/>
        <w:autoSpaceDN w:val="0"/>
        <w:adjustRightInd w:val="0"/>
        <w:jc w:val="both"/>
        <w:rPr>
          <w:rFonts w:cstheme="minorHAnsi"/>
          <w:i/>
          <w:iCs/>
          <w:kern w:val="0"/>
          <w:sz w:val="22"/>
          <w:szCs w:val="22"/>
        </w:rPr>
      </w:pPr>
    </w:p>
    <w:p w:rsidR="00A0186A" w:rsidRPr="00443963" w:rsidRDefault="00A0186A" w:rsidP="00A0186A">
      <w:pPr>
        <w:autoSpaceDE w:val="0"/>
        <w:autoSpaceDN w:val="0"/>
        <w:adjustRightInd w:val="0"/>
        <w:jc w:val="both"/>
        <w:rPr>
          <w:rFonts w:cstheme="minorHAnsi"/>
          <w:b/>
          <w:bCs/>
          <w:kern w:val="0"/>
          <w:sz w:val="22"/>
          <w:szCs w:val="22"/>
        </w:rPr>
      </w:pPr>
      <w:r w:rsidRPr="00443963">
        <w:rPr>
          <w:rFonts w:cstheme="minorHAnsi"/>
          <w:kern w:val="0"/>
          <w:sz w:val="22"/>
          <w:szCs w:val="22"/>
        </w:rPr>
        <w:t>On October 1, 2024, the Association hired an engineer as an independent consultant to provide advice in the best interest of owners for the recertification project.</w:t>
      </w:r>
    </w:p>
    <w:p w:rsidR="00A0186A" w:rsidRPr="00443963" w:rsidRDefault="00A0186A" w:rsidP="00263309">
      <w:pPr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</w:p>
    <w:p w:rsidR="002F1B9D" w:rsidRPr="00443963" w:rsidRDefault="00A9583E" w:rsidP="00263309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443963">
        <w:rPr>
          <w:rFonts w:cstheme="minorHAnsi"/>
          <w:kern w:val="0"/>
          <w:sz w:val="22"/>
          <w:szCs w:val="22"/>
        </w:rPr>
        <w:t>In order t</w:t>
      </w:r>
      <w:r w:rsidR="00C167AE" w:rsidRPr="00443963">
        <w:rPr>
          <w:rFonts w:cstheme="minorHAnsi"/>
          <w:kern w:val="0"/>
          <w:sz w:val="22"/>
          <w:szCs w:val="22"/>
        </w:rPr>
        <w:t xml:space="preserve">o meet the increasing funding requirements </w:t>
      </w:r>
      <w:r w:rsidR="00E12D4A" w:rsidRPr="00443963">
        <w:rPr>
          <w:rFonts w:cstheme="minorHAnsi"/>
          <w:kern w:val="0"/>
          <w:sz w:val="22"/>
          <w:szCs w:val="22"/>
        </w:rPr>
        <w:t>of t</w:t>
      </w:r>
      <w:r w:rsidR="00C167AE" w:rsidRPr="00443963">
        <w:rPr>
          <w:rFonts w:cstheme="minorHAnsi"/>
          <w:kern w:val="0"/>
          <w:sz w:val="22"/>
          <w:szCs w:val="22"/>
        </w:rPr>
        <w:t xml:space="preserve">he recertification, </w:t>
      </w:r>
      <w:r w:rsidR="00E12D4A" w:rsidRPr="00443963">
        <w:rPr>
          <w:rFonts w:cstheme="minorHAnsi"/>
          <w:kern w:val="0"/>
          <w:sz w:val="22"/>
          <w:szCs w:val="22"/>
        </w:rPr>
        <w:t xml:space="preserve">in May 2024 </w:t>
      </w:r>
      <w:r w:rsidRPr="00443963">
        <w:rPr>
          <w:rFonts w:cstheme="minorHAnsi"/>
          <w:kern w:val="0"/>
          <w:sz w:val="22"/>
          <w:szCs w:val="22"/>
        </w:rPr>
        <w:t xml:space="preserve">the Association obtained </w:t>
      </w:r>
      <w:r w:rsidR="00C167AE" w:rsidRPr="00443963">
        <w:rPr>
          <w:rFonts w:cstheme="minorHAnsi"/>
          <w:kern w:val="0"/>
          <w:sz w:val="22"/>
          <w:szCs w:val="22"/>
        </w:rPr>
        <w:t xml:space="preserve">a non-revolving interest-only line of credit from Banco Popular </w:t>
      </w:r>
      <w:r w:rsidR="00E72E19" w:rsidRPr="00443963">
        <w:rPr>
          <w:rFonts w:cstheme="minorHAnsi"/>
          <w:kern w:val="0"/>
          <w:sz w:val="22"/>
          <w:szCs w:val="22"/>
        </w:rPr>
        <w:t xml:space="preserve">of up to $3,350,000 </w:t>
      </w:r>
      <w:r w:rsidR="00E72E19" w:rsidRPr="00443963">
        <w:rPr>
          <w:rFonts w:cstheme="minorHAnsi"/>
          <w:sz w:val="22"/>
          <w:szCs w:val="22"/>
        </w:rPr>
        <w:t xml:space="preserve">at an interest rate of 6.75% and a </w:t>
      </w:r>
      <w:r w:rsidRPr="00443963">
        <w:rPr>
          <w:rFonts w:cstheme="minorHAnsi"/>
          <w:sz w:val="22"/>
          <w:szCs w:val="22"/>
        </w:rPr>
        <w:t>maximum 24-month term.</w:t>
      </w:r>
      <w:r w:rsidR="00C167AE" w:rsidRPr="00443963">
        <w:rPr>
          <w:rFonts w:cstheme="minorHAnsi"/>
          <w:sz w:val="22"/>
          <w:szCs w:val="22"/>
        </w:rPr>
        <w:t xml:space="preserve"> </w:t>
      </w:r>
      <w:r w:rsidR="002F1B9D" w:rsidRPr="00443963">
        <w:rPr>
          <w:rFonts w:cstheme="minorHAnsi"/>
          <w:sz w:val="22"/>
          <w:szCs w:val="22"/>
        </w:rPr>
        <w:t xml:space="preserve">The Association is paying the interest on the line of credit drawdowns from the operating budget, which is funded with the monthly maintenance fees. </w:t>
      </w:r>
    </w:p>
    <w:p w:rsidR="002F1B9D" w:rsidRPr="00443963" w:rsidRDefault="002F1B9D" w:rsidP="00263309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:rsidR="00D206B4" w:rsidRPr="00443963" w:rsidRDefault="00C167AE" w:rsidP="00263309">
      <w:pPr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443963">
        <w:rPr>
          <w:rFonts w:cstheme="minorHAnsi"/>
          <w:kern w:val="0"/>
          <w:sz w:val="22"/>
          <w:szCs w:val="22"/>
        </w:rPr>
        <w:t xml:space="preserve">Once the project is completed, </w:t>
      </w:r>
      <w:r w:rsidR="00A0186A" w:rsidRPr="00443963">
        <w:rPr>
          <w:rFonts w:cstheme="minorHAnsi"/>
          <w:kern w:val="0"/>
          <w:sz w:val="22"/>
          <w:szCs w:val="22"/>
        </w:rPr>
        <w:t xml:space="preserve">and </w:t>
      </w:r>
      <w:r w:rsidRPr="00443963">
        <w:rPr>
          <w:rFonts w:cstheme="minorHAnsi"/>
          <w:kern w:val="0"/>
          <w:sz w:val="22"/>
          <w:szCs w:val="22"/>
        </w:rPr>
        <w:t xml:space="preserve">the final disbursed amount </w:t>
      </w:r>
      <w:r w:rsidR="00A0186A" w:rsidRPr="00443963">
        <w:rPr>
          <w:rFonts w:cstheme="minorHAnsi"/>
          <w:kern w:val="0"/>
          <w:sz w:val="22"/>
          <w:szCs w:val="22"/>
        </w:rPr>
        <w:t>known, there will be a Special Assessment proportionate to the respective ownership share of each unit.</w:t>
      </w:r>
      <w:r w:rsidRPr="00443963">
        <w:rPr>
          <w:rFonts w:cstheme="minorHAnsi"/>
          <w:kern w:val="0"/>
          <w:sz w:val="22"/>
          <w:szCs w:val="22"/>
        </w:rPr>
        <w:t xml:space="preserve"> </w:t>
      </w:r>
      <w:r w:rsidR="00636B8D" w:rsidRPr="00443963">
        <w:rPr>
          <w:rFonts w:cstheme="minorHAnsi"/>
          <w:kern w:val="0"/>
          <w:sz w:val="22"/>
          <w:szCs w:val="22"/>
        </w:rPr>
        <w:t>I</w:t>
      </w:r>
      <w:r w:rsidR="00263309" w:rsidRPr="00443963">
        <w:rPr>
          <w:rFonts w:cstheme="minorHAnsi"/>
          <w:kern w:val="0"/>
          <w:sz w:val="22"/>
          <w:szCs w:val="22"/>
        </w:rPr>
        <w:t>f</w:t>
      </w:r>
      <w:r w:rsidR="00636B8D" w:rsidRPr="00443963">
        <w:rPr>
          <w:rFonts w:cstheme="minorHAnsi"/>
          <w:kern w:val="0"/>
          <w:sz w:val="22"/>
          <w:szCs w:val="22"/>
        </w:rPr>
        <w:t xml:space="preserve"> </w:t>
      </w:r>
      <w:r w:rsidR="00263309" w:rsidRPr="00443963">
        <w:rPr>
          <w:rFonts w:cstheme="minorHAnsi"/>
          <w:kern w:val="0"/>
          <w:sz w:val="22"/>
          <w:szCs w:val="22"/>
        </w:rPr>
        <w:t>t</w:t>
      </w:r>
      <w:r w:rsidR="00636B8D" w:rsidRPr="00443963">
        <w:rPr>
          <w:rFonts w:cstheme="minorHAnsi"/>
          <w:kern w:val="0"/>
          <w:sz w:val="22"/>
          <w:szCs w:val="22"/>
        </w:rPr>
        <w:t>he maximum amount of the line of credi</w:t>
      </w:r>
      <w:r w:rsidR="00263309" w:rsidRPr="00443963">
        <w:rPr>
          <w:rFonts w:cstheme="minorHAnsi"/>
          <w:kern w:val="0"/>
          <w:sz w:val="22"/>
          <w:szCs w:val="22"/>
        </w:rPr>
        <w:t>t were disbursed</w:t>
      </w:r>
      <w:r w:rsidR="00636B8D" w:rsidRPr="00443963">
        <w:rPr>
          <w:rFonts w:cstheme="minorHAnsi"/>
          <w:kern w:val="0"/>
          <w:sz w:val="22"/>
          <w:szCs w:val="22"/>
        </w:rPr>
        <w:t>, the proportionate share w</w:t>
      </w:r>
      <w:r w:rsidR="00263309" w:rsidRPr="00443963">
        <w:rPr>
          <w:rFonts w:cstheme="minorHAnsi"/>
          <w:kern w:val="0"/>
          <w:sz w:val="22"/>
          <w:szCs w:val="22"/>
        </w:rPr>
        <w:t>ill</w:t>
      </w:r>
      <w:r w:rsidR="00636B8D" w:rsidRPr="00443963">
        <w:rPr>
          <w:rFonts w:cstheme="minorHAnsi"/>
          <w:kern w:val="0"/>
          <w:sz w:val="22"/>
          <w:szCs w:val="22"/>
        </w:rPr>
        <w:t xml:space="preserve"> be</w:t>
      </w:r>
      <w:r w:rsidR="00D206B4" w:rsidRPr="00443963">
        <w:rPr>
          <w:rFonts w:cstheme="minorHAnsi"/>
          <w:kern w:val="0"/>
          <w:sz w:val="22"/>
          <w:szCs w:val="22"/>
        </w:rPr>
        <w:t xml:space="preserve"> as follows and could be paid in full or financed: 2/2 corner units: $20,109</w:t>
      </w:r>
      <w:r w:rsidR="00263309" w:rsidRPr="00443963">
        <w:rPr>
          <w:rFonts w:cstheme="minorHAnsi"/>
          <w:kern w:val="0"/>
          <w:sz w:val="22"/>
          <w:szCs w:val="22"/>
        </w:rPr>
        <w:t xml:space="preserve">; </w:t>
      </w:r>
      <w:r w:rsidR="00D206B4" w:rsidRPr="00443963">
        <w:rPr>
          <w:rFonts w:cstheme="minorHAnsi"/>
          <w:kern w:val="0"/>
          <w:sz w:val="22"/>
          <w:szCs w:val="22"/>
        </w:rPr>
        <w:t>2/2 interior units: $18,864</w:t>
      </w:r>
      <w:r w:rsidR="00263309" w:rsidRPr="00443963">
        <w:rPr>
          <w:rFonts w:cstheme="minorHAnsi"/>
          <w:kern w:val="0"/>
          <w:sz w:val="22"/>
          <w:szCs w:val="22"/>
        </w:rPr>
        <w:t xml:space="preserve">; and </w:t>
      </w:r>
      <w:r w:rsidR="00D206B4" w:rsidRPr="00443963">
        <w:rPr>
          <w:rFonts w:cstheme="minorHAnsi"/>
          <w:kern w:val="0"/>
          <w:sz w:val="22"/>
          <w:szCs w:val="22"/>
        </w:rPr>
        <w:t>1/1 units: $12,480</w:t>
      </w:r>
      <w:r w:rsidR="00263309" w:rsidRPr="00443963">
        <w:rPr>
          <w:rFonts w:cstheme="minorHAnsi"/>
          <w:kern w:val="0"/>
          <w:sz w:val="22"/>
          <w:szCs w:val="22"/>
        </w:rPr>
        <w:t>.</w:t>
      </w:r>
      <w:r w:rsidR="00D206B4" w:rsidRPr="00443963">
        <w:rPr>
          <w:rFonts w:cstheme="minorHAnsi"/>
          <w:kern w:val="0"/>
          <w:sz w:val="22"/>
          <w:szCs w:val="22"/>
        </w:rPr>
        <w:t xml:space="preserve"> </w:t>
      </w:r>
      <w:r w:rsidR="00A0186A" w:rsidRPr="00443963">
        <w:rPr>
          <w:rFonts w:cstheme="minorHAnsi"/>
          <w:kern w:val="0"/>
          <w:sz w:val="22"/>
          <w:szCs w:val="22"/>
        </w:rPr>
        <w:t xml:space="preserve">Owners who request the financing will be able to pay their share of the line of credit </w:t>
      </w:r>
      <w:r w:rsidR="008F283A" w:rsidRPr="00443963">
        <w:rPr>
          <w:rFonts w:cstheme="minorHAnsi"/>
          <w:kern w:val="0"/>
          <w:sz w:val="22"/>
          <w:szCs w:val="22"/>
        </w:rPr>
        <w:t xml:space="preserve">as a </w:t>
      </w:r>
      <w:r w:rsidR="00A0186A" w:rsidRPr="00443963">
        <w:rPr>
          <w:rFonts w:cstheme="minorHAnsi"/>
          <w:kern w:val="0"/>
          <w:sz w:val="22"/>
          <w:szCs w:val="22"/>
        </w:rPr>
        <w:t>regular term loan of 5, 7, or 10 years at interest rates of 6.75%, 6.80% or 6.85% respectively</w:t>
      </w:r>
      <w:r w:rsidR="008F283A" w:rsidRPr="00443963">
        <w:rPr>
          <w:rFonts w:cstheme="minorHAnsi"/>
          <w:kern w:val="0"/>
          <w:sz w:val="22"/>
          <w:szCs w:val="22"/>
        </w:rPr>
        <w:t>.</w:t>
      </w:r>
      <w:r w:rsidR="00A0186A" w:rsidRPr="00443963">
        <w:rPr>
          <w:rFonts w:cstheme="minorHAnsi"/>
          <w:kern w:val="0"/>
          <w:sz w:val="22"/>
          <w:szCs w:val="22"/>
        </w:rPr>
        <w:t xml:space="preserve"> </w:t>
      </w:r>
    </w:p>
    <w:p w:rsidR="002F1B9D" w:rsidRPr="00443963" w:rsidRDefault="002F1B9D" w:rsidP="00263309">
      <w:pPr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</w:p>
    <w:p w:rsidR="002F1B9D" w:rsidRPr="00443963" w:rsidRDefault="002F1B9D" w:rsidP="002F1B9D">
      <w:pPr>
        <w:jc w:val="both"/>
        <w:rPr>
          <w:rFonts w:cstheme="minorHAnsi"/>
          <w:sz w:val="22"/>
          <w:szCs w:val="22"/>
        </w:rPr>
      </w:pPr>
      <w:r w:rsidRPr="00443963">
        <w:rPr>
          <w:rFonts w:cstheme="minorHAnsi"/>
          <w:sz w:val="22"/>
          <w:szCs w:val="22"/>
        </w:rPr>
        <w:t>Remediating structural deficits in the parking lot causing severe flooding, also subject to government regulations, is also being quoted and evaluated. These could be included in a Special Assessment but might not be eligible for the Miami-Dade assistance program.</w:t>
      </w:r>
    </w:p>
    <w:p w:rsidR="008F11CF" w:rsidRPr="00443963" w:rsidRDefault="008F11CF" w:rsidP="00CB7430">
      <w:pPr>
        <w:jc w:val="both"/>
        <w:rPr>
          <w:rFonts w:ascii="Garamond" w:hAnsi="Garamond"/>
          <w:sz w:val="22"/>
          <w:szCs w:val="22"/>
        </w:rPr>
      </w:pPr>
    </w:p>
    <w:p w:rsidR="00AC5CA2" w:rsidRPr="00443963" w:rsidRDefault="00467EDB" w:rsidP="00467EDB">
      <w:pPr>
        <w:jc w:val="both"/>
        <w:rPr>
          <w:rFonts w:cstheme="minorHAnsi"/>
          <w:sz w:val="22"/>
          <w:szCs w:val="22"/>
        </w:rPr>
      </w:pPr>
      <w:r w:rsidRPr="00443963">
        <w:rPr>
          <w:rFonts w:cstheme="minorHAnsi"/>
          <w:sz w:val="22"/>
          <w:szCs w:val="22"/>
        </w:rPr>
        <w:t xml:space="preserve">Owners who reside in their units and meet certain requirements may apply for assistance from the Miami-Dade </w:t>
      </w:r>
      <w:hyperlink r:id="rId5" w:history="1">
        <w:r w:rsidRPr="00443963">
          <w:rPr>
            <w:rStyle w:val="Hyperlink"/>
            <w:rFonts w:cstheme="minorHAnsi"/>
            <w:sz w:val="22"/>
            <w:szCs w:val="22"/>
            <w:shd w:val="clear" w:color="auto" w:fill="FFFFFF"/>
          </w:rPr>
          <w:t>Condominium Special Assessment Program</w:t>
        </w:r>
      </w:hyperlink>
      <w:r w:rsidRPr="00443963">
        <w:rPr>
          <w:rFonts w:cstheme="minorHAnsi"/>
          <w:sz w:val="22"/>
          <w:szCs w:val="22"/>
          <w:shd w:val="clear" w:color="auto" w:fill="FFFFFF"/>
        </w:rPr>
        <w:t xml:space="preserve"> in the form </w:t>
      </w:r>
      <w:r w:rsidRPr="00443963">
        <w:rPr>
          <w:rFonts w:cstheme="minorHAnsi"/>
          <w:sz w:val="22"/>
          <w:szCs w:val="22"/>
        </w:rPr>
        <w:t>of a</w:t>
      </w:r>
      <w:r w:rsidR="009A5A54" w:rsidRPr="00443963">
        <w:rPr>
          <w:rFonts w:cstheme="minorHAnsi"/>
          <w:sz w:val="22"/>
          <w:szCs w:val="22"/>
        </w:rPr>
        <w:t>n interest-free</w:t>
      </w:r>
      <w:r w:rsidRPr="00443963">
        <w:rPr>
          <w:rFonts w:cstheme="minorHAnsi"/>
          <w:sz w:val="22"/>
          <w:szCs w:val="22"/>
        </w:rPr>
        <w:t xml:space="preserve"> 40-year loan of up to $50,000. </w:t>
      </w:r>
      <w:r w:rsidRPr="00443963">
        <w:rPr>
          <w:rFonts w:cstheme="minorHAnsi"/>
          <w:sz w:val="22"/>
          <w:szCs w:val="22"/>
          <w:shd w:val="clear" w:color="auto" w:fill="FFFFFF"/>
        </w:rPr>
        <w:t>E</w:t>
      </w:r>
      <w:r w:rsidRPr="00443963">
        <w:rPr>
          <w:rFonts w:cstheme="minorHAnsi"/>
          <w:sz w:val="22"/>
          <w:szCs w:val="22"/>
        </w:rPr>
        <w:t>arnings may not exceed $95,620 for individuals, $109,200 for couples, $122,920 for 3-person households, and $136,500 for 4-person households.</w:t>
      </w:r>
    </w:p>
    <w:sectPr w:rsidR="00AC5CA2" w:rsidRPr="00443963" w:rsidSect="002F1B9D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64BD0"/>
    <w:multiLevelType w:val="hybridMultilevel"/>
    <w:tmpl w:val="000071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AE"/>
    <w:rsid w:val="000301FC"/>
    <w:rsid w:val="00030206"/>
    <w:rsid w:val="000E6E0C"/>
    <w:rsid w:val="001A1200"/>
    <w:rsid w:val="00243B5A"/>
    <w:rsid w:val="00263309"/>
    <w:rsid w:val="002F1B9D"/>
    <w:rsid w:val="00443963"/>
    <w:rsid w:val="00467EDB"/>
    <w:rsid w:val="005711C5"/>
    <w:rsid w:val="00636B8D"/>
    <w:rsid w:val="00660A26"/>
    <w:rsid w:val="00693F3D"/>
    <w:rsid w:val="0075141B"/>
    <w:rsid w:val="00801625"/>
    <w:rsid w:val="00826920"/>
    <w:rsid w:val="008F11CF"/>
    <w:rsid w:val="008F283A"/>
    <w:rsid w:val="00960E3B"/>
    <w:rsid w:val="009A5A54"/>
    <w:rsid w:val="009E4B76"/>
    <w:rsid w:val="00A0186A"/>
    <w:rsid w:val="00A110A8"/>
    <w:rsid w:val="00A63117"/>
    <w:rsid w:val="00A9583E"/>
    <w:rsid w:val="00AC5CA2"/>
    <w:rsid w:val="00C167AE"/>
    <w:rsid w:val="00C86212"/>
    <w:rsid w:val="00CB7430"/>
    <w:rsid w:val="00CF6718"/>
    <w:rsid w:val="00D206B4"/>
    <w:rsid w:val="00DB5289"/>
    <w:rsid w:val="00E12D4A"/>
    <w:rsid w:val="00E72E19"/>
    <w:rsid w:val="00E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12BF0"/>
  <w15:chartTrackingRefBased/>
  <w15:docId w15:val="{96065493-666A-3C43-B617-DB7F7FE1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E3B"/>
    <w:pPr>
      <w:tabs>
        <w:tab w:val="center" w:pos="4680"/>
        <w:tab w:val="right" w:pos="9360"/>
      </w:tabs>
    </w:pPr>
    <w:rPr>
      <w:rFonts w:ascii="Georgia" w:hAnsi="Georgia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60E3B"/>
    <w:rPr>
      <w:rFonts w:ascii="Georgia" w:hAnsi="Georgia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D206B4"/>
    <w:pPr>
      <w:ind w:left="720"/>
      <w:contextualSpacing/>
    </w:pPr>
    <w:rPr>
      <w:rFonts w:ascii="Arial" w:eastAsia="Times New Roman" w:hAnsi="Arial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206B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7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amidade.gov/global/service.page?Mduid_service=ser16892624439117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543</Words>
  <Characters>2800</Characters>
  <Application>Microsoft Office Word</Application>
  <DocSecurity>0</DocSecurity>
  <Lines>112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WERLAU</dc:creator>
  <cp:keywords/>
  <dc:description/>
  <cp:lastModifiedBy>MARIA WERLAU</cp:lastModifiedBy>
  <cp:revision>10</cp:revision>
  <dcterms:created xsi:type="dcterms:W3CDTF">2024-11-06T17:33:00Z</dcterms:created>
  <dcterms:modified xsi:type="dcterms:W3CDTF">2024-11-12T16:59:00Z</dcterms:modified>
  <cp:category/>
</cp:coreProperties>
</file>